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F8ECB">
      <w:pPr>
        <w:spacing w:line="640" w:lineRule="exact"/>
        <w:jc w:val="center"/>
        <w:rPr>
          <w:rFonts w:ascii="Times New Roman" w:hAnsi="Times New Roman" w:eastAsia="方正仿宋_GBK" w:cs="Times New Roman"/>
          <w:sz w:val="32"/>
          <w:szCs w:val="32"/>
        </w:rPr>
      </w:pPr>
      <w:bookmarkStart w:id="0" w:name="OLE_LINK12"/>
      <w:bookmarkStart w:id="1" w:name="OLE_LINK11"/>
      <w:r>
        <w:rPr>
          <w:rFonts w:ascii="Times New Roman" w:hAnsi="Times New Roman" w:eastAsia="方正小标宋_GBK" w:cs="Times New Roman"/>
          <w:kern w:val="0"/>
          <w:sz w:val="44"/>
          <w:szCs w:val="44"/>
        </w:rPr>
        <w:t>苏州市医学伦理审查联盟</w:t>
      </w:r>
      <w:r>
        <w:rPr>
          <w:rFonts w:ascii="Times New Roman" w:hAnsi="Times New Roman" w:eastAsia="方正小标宋_GBK" w:cs="Times New Roman"/>
          <w:sz w:val="44"/>
          <w:szCs w:val="44"/>
        </w:rPr>
        <w:t>工作规则</w:t>
      </w:r>
      <w:bookmarkEnd w:id="0"/>
      <w:bookmarkEnd w:id="1"/>
      <w:r>
        <w:rPr>
          <w:rFonts w:ascii="Times New Roman" w:hAnsi="Times New Roman" w:eastAsia="楷体_GB2312" w:cs="Times New Roman"/>
          <w:sz w:val="32"/>
          <w:szCs w:val="32"/>
        </w:rPr>
        <w:t>（2025版）</w:t>
      </w:r>
    </w:p>
    <w:p w14:paraId="462C7751">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第一条  为优化多中心临床研究伦理审查资源配置，建立审查结果互认机制，推进审查标准规范化建设，提升伦理审查效率，实现伦理审查同质化管理，促进临床研究高质量发展，由苏州市卫生健康委员会倡议，有关医疗卫生机构发起成立苏州市医学伦理审查联盟（以下简称联盟）。根据工作实际，制定本规则。</w:t>
      </w:r>
    </w:p>
    <w:p w14:paraId="57180CDE">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第二条  联盟的主要任务为探索并逐步完善伦理审查结果互认机制，建立联盟运行管理共识，依托多中心临床研究项目开展伦理审查结果互认。</w:t>
      </w:r>
    </w:p>
    <w:p w14:paraId="72DB340B">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第三条  联盟本着依法、安全、科学、高效和充分维护受试者（研究参与者）权益的原则开展伦理审查结果的互认。</w:t>
      </w:r>
    </w:p>
    <w:p w14:paraId="107F4E5A">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第四条  按照同一研究方案，在两家以上（含）的联盟成员单位间开展多中心的临床研究时，联盟成员单位依据本规则进行伦理审查结果互认。我市医学伦理审查联盟内结果互认范围为药物和医疗器械（含体外诊断试剂）临床试验、研究者发起的多中心临床研究（包括涉及生物样本库利用、数据挖掘、队列研究的项目等，但高风险临床研究项目除外）。</w:t>
      </w:r>
    </w:p>
    <w:p w14:paraId="21CFCCCC">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第五条  联盟成员单位按照自愿原则，由苏州地区符合条件的医疗卫生机构组成。</w:t>
      </w:r>
    </w:p>
    <w:p w14:paraId="1266A068">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第六条  联盟设立联盟内沟通协调机制。苏州市卫生健康委员会每年组织召开联盟成员联席会议和年度工作会议、或按需组织联席会议，协调沟通相关工作，完善相关规范，保障联盟的高效运行；各联盟成员单位可通过协调机制交流实施过程中的成效、存在问题和改进建议，完善工作机制目录及质控清单与标准。</w:t>
      </w:r>
    </w:p>
    <w:p w14:paraId="31A37271">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第七条  联盟成员单位应明确沟通程序和联系人，具体落实伦理审查互认工作，总结工作中的成效及问题等。医疗机构应当设立直接隶属于医疗机构、独立行政建制的伦理委员会办公室，确保伦理委员会能够独立开展伦理审查工作。伦理委员会办公室应根据审查工作实际需要配备能够胜任工作的专（兼）职秘书和工作人员、并配备满足日常工作需要的办公设施。</w:t>
      </w:r>
    </w:p>
    <w:p w14:paraId="44546682">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第八条  对于需要联盟成员单位互认的临床研究项目推荐使用统一的《苏州市临床研究伦理审查申请文件清单》（附件4）及《苏州市临床研究伦理初始审查申请表》 （药物/器械临床试验）、《苏州市临床研究伦理初审审查申请表》（研究者发起临床研究）（附件5），《苏州市临床研究伦理审查结果互认说明》（附件6），加快建设伦理审查及临床试验机构信息平台。</w:t>
      </w:r>
    </w:p>
    <w:p w14:paraId="033D524E">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第九条  开展伦理审查结果互认时，联盟成员单位分为一家 主审单位和若干家参与单位。</w:t>
      </w:r>
    </w:p>
    <w:p w14:paraId="1F2ACB4C">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主审单位一般由苏州地区多中心临床研究项目的组长单位担任。如成员单位中无组长单位，按照联盟内成员单位“先到先审”的原则确定主审单位。</w:t>
      </w:r>
    </w:p>
    <w:p w14:paraId="125BD5F6">
      <w:pPr>
        <w:adjustRightInd w:val="0"/>
        <w:snapToGrid w:val="0"/>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第十条  主审单位自受理伦理审查申请之日起15个工作日内完成伦理审查工作，并于完成审查后5个工作日内给予研究者书面</w:t>
      </w:r>
      <w:r>
        <w:rPr>
          <w:rFonts w:ascii="Times New Roman" w:hAnsi="Times New Roman" w:eastAsia="方正仿宋_GBK" w:cs="Times New Roman"/>
          <w:spacing w:val="-25"/>
          <w:sz w:val="32"/>
          <w:szCs w:val="32"/>
        </w:rPr>
        <w:t>回复。</w:t>
      </w:r>
    </w:p>
    <w:p w14:paraId="0C8B9F44">
      <w:pPr>
        <w:spacing w:line="580" w:lineRule="exact"/>
        <w:ind w:firstLine="700" w:firstLineChars="200"/>
        <w:rPr>
          <w:rFonts w:ascii="Times New Roman" w:hAnsi="Times New Roman" w:eastAsia="方正仿宋_GBK" w:cs="Times New Roman"/>
          <w:sz w:val="32"/>
          <w:szCs w:val="32"/>
        </w:rPr>
      </w:pPr>
      <w:r>
        <w:rPr>
          <w:rFonts w:ascii="Times New Roman" w:hAnsi="Times New Roman" w:eastAsia="方正仿宋_GBK" w:cs="Times New Roman"/>
          <w:spacing w:val="15"/>
          <w:sz w:val="32"/>
          <w:szCs w:val="32"/>
        </w:rPr>
        <w:t>第十一条  参与单位收到本机构研究者提交的主审单位伦理审查批件和相关审查文件后，原则上</w:t>
      </w:r>
      <w:r>
        <w:rPr>
          <w:rFonts w:ascii="Times New Roman" w:hAnsi="Times New Roman" w:eastAsia="方正仿宋_GBK" w:cs="Times New Roman"/>
          <w:spacing w:val="9"/>
          <w:sz w:val="32"/>
          <w:szCs w:val="32"/>
        </w:rPr>
        <w:t>采取简易审查程序，在正式受理项目后7个工作日内</w:t>
      </w:r>
      <w:r>
        <w:rPr>
          <w:rFonts w:ascii="Times New Roman" w:hAnsi="Times New Roman" w:eastAsia="方正仿宋_GBK" w:cs="Times New Roman"/>
          <w:spacing w:val="8"/>
          <w:sz w:val="32"/>
          <w:szCs w:val="32"/>
        </w:rPr>
        <w:t>完成本机构</w:t>
      </w:r>
      <w:r>
        <w:rPr>
          <w:rFonts w:ascii="Times New Roman" w:hAnsi="Times New Roman" w:eastAsia="方正仿宋_GBK" w:cs="Times New Roman"/>
          <w:spacing w:val="15"/>
          <w:sz w:val="32"/>
          <w:szCs w:val="32"/>
        </w:rPr>
        <w:t>研究者资格和能力、人员配备、设备条件和知情同意书等内容的</w:t>
      </w:r>
      <w:r>
        <w:rPr>
          <w:rFonts w:ascii="Times New Roman" w:hAnsi="Times New Roman" w:eastAsia="方正仿宋_GBK" w:cs="Times New Roman"/>
          <w:spacing w:val="1"/>
          <w:sz w:val="32"/>
          <w:szCs w:val="32"/>
        </w:rPr>
        <w:t>审查，并给予书面回复。</w:t>
      </w:r>
    </w:p>
    <w:p w14:paraId="24144BBE">
      <w:pPr>
        <w:spacing w:line="580" w:lineRule="exact"/>
        <w:ind w:firstLine="756" w:firstLineChars="200"/>
        <w:rPr>
          <w:rFonts w:ascii="Times New Roman" w:hAnsi="Times New Roman" w:eastAsia="方正仿宋_GBK" w:cs="Times New Roman"/>
          <w:sz w:val="32"/>
          <w:szCs w:val="32"/>
        </w:rPr>
      </w:pPr>
      <w:r>
        <w:rPr>
          <w:rFonts w:ascii="Times New Roman" w:hAnsi="Times New Roman" w:eastAsia="方正仿宋_GBK" w:cs="Times New Roman"/>
          <w:spacing w:val="29"/>
          <w:sz w:val="32"/>
          <w:szCs w:val="32"/>
        </w:rPr>
        <w:t>第十二条  主审单位和参与单位</w:t>
      </w:r>
      <w:bookmarkStart w:id="2" w:name="OLE_LINK21"/>
      <w:bookmarkStart w:id="3" w:name="OLE_LINK22"/>
      <w:r>
        <w:rPr>
          <w:rFonts w:ascii="Times New Roman" w:hAnsi="Times New Roman" w:eastAsia="方正仿宋_GBK" w:cs="Times New Roman"/>
          <w:spacing w:val="29"/>
          <w:sz w:val="32"/>
          <w:szCs w:val="32"/>
        </w:rPr>
        <w:t>均应</w:t>
      </w:r>
      <w:bookmarkEnd w:id="2"/>
      <w:bookmarkEnd w:id="3"/>
      <w:r>
        <w:rPr>
          <w:rFonts w:ascii="Times New Roman" w:hAnsi="Times New Roman" w:eastAsia="方正仿宋_GBK" w:cs="Times New Roman"/>
          <w:spacing w:val="29"/>
          <w:sz w:val="32"/>
          <w:szCs w:val="32"/>
        </w:rPr>
        <w:t>承担本机构受试者</w:t>
      </w:r>
      <w:r>
        <w:rPr>
          <w:rFonts w:ascii="Times New Roman" w:hAnsi="Times New Roman" w:eastAsia="方正仿宋_GBK" w:cs="Times New Roman"/>
          <w:spacing w:val="28"/>
          <w:sz w:val="32"/>
          <w:szCs w:val="32"/>
        </w:rPr>
        <w:t>（研究参与者）保</w:t>
      </w:r>
      <w:r>
        <w:rPr>
          <w:rFonts w:ascii="Times New Roman" w:hAnsi="Times New Roman" w:eastAsia="方正仿宋_GBK" w:cs="Times New Roman"/>
          <w:spacing w:val="14"/>
          <w:sz w:val="32"/>
          <w:szCs w:val="32"/>
        </w:rPr>
        <w:t>护的主体责任，依法依规开展伦理审查，接受社会监督。项目</w:t>
      </w:r>
      <w:r>
        <w:rPr>
          <w:rFonts w:ascii="Times New Roman" w:hAnsi="Times New Roman" w:eastAsia="方正仿宋_GBK" w:cs="Times New Roman"/>
          <w:spacing w:val="7"/>
          <w:sz w:val="32"/>
          <w:szCs w:val="32"/>
        </w:rPr>
        <w:t>开展过程中，主审单位和参与单位各自在本中心开展跟踪审</w:t>
      </w:r>
      <w:r>
        <w:rPr>
          <w:rFonts w:ascii="Times New Roman" w:hAnsi="Times New Roman" w:eastAsia="方正仿宋_GBK" w:cs="Times New Roman"/>
          <w:spacing w:val="6"/>
          <w:sz w:val="32"/>
          <w:szCs w:val="32"/>
        </w:rPr>
        <w:t>查，</w:t>
      </w:r>
      <w:r>
        <w:rPr>
          <w:rFonts w:ascii="Times New Roman" w:hAnsi="Times New Roman" w:eastAsia="方正仿宋_GBK" w:cs="Times New Roman"/>
          <w:spacing w:val="14"/>
          <w:sz w:val="32"/>
          <w:szCs w:val="32"/>
        </w:rPr>
        <w:t>履行受试者（研究参与者）保护的职责。项目开展中如出现损害受试者（研究参与者）权益或发生安全问题，机构内主要负责人、研究者、项目管理部门、伦理</w:t>
      </w:r>
      <w:r>
        <w:rPr>
          <w:rFonts w:ascii="Times New Roman" w:hAnsi="Times New Roman" w:eastAsia="方正仿宋_GBK" w:cs="Times New Roman"/>
          <w:spacing w:val="5"/>
          <w:sz w:val="32"/>
          <w:szCs w:val="32"/>
        </w:rPr>
        <w:t>委员会等按照各自职责和规范、程序进行处理。</w:t>
      </w:r>
    </w:p>
    <w:p w14:paraId="546AA0E0">
      <w:pPr>
        <w:spacing w:line="580" w:lineRule="exact"/>
        <w:ind w:firstLine="688" w:firstLineChars="200"/>
        <w:rPr>
          <w:rFonts w:ascii="Times New Roman" w:hAnsi="Times New Roman" w:eastAsia="方正仿宋_GBK" w:cs="Times New Roman"/>
          <w:sz w:val="32"/>
          <w:szCs w:val="32"/>
        </w:rPr>
      </w:pPr>
      <w:r>
        <w:rPr>
          <w:rFonts w:ascii="Times New Roman" w:hAnsi="Times New Roman" w:eastAsia="方正仿宋_GBK" w:cs="Times New Roman"/>
          <w:spacing w:val="12"/>
          <w:sz w:val="32"/>
          <w:szCs w:val="32"/>
        </w:rPr>
        <w:t>第十三条  本规则自印发之日起正式实施。</w:t>
      </w:r>
    </w:p>
    <w:p w14:paraId="232B8C50">
      <w:pPr>
        <w:ind w:firstLine="692" w:firstLineChars="200"/>
        <w:rPr>
          <w:rFonts w:ascii="Times New Roman" w:hAnsi="Times New Roman" w:eastAsia="方正仿宋_GBK" w:cs="Times New Roman"/>
          <w:spacing w:val="13"/>
          <w:sz w:val="32"/>
          <w:szCs w:val="32"/>
        </w:rPr>
      </w:pPr>
      <w:r>
        <w:rPr>
          <w:rFonts w:ascii="Times New Roman" w:hAnsi="Times New Roman" w:eastAsia="方正仿宋_GBK" w:cs="Times New Roman"/>
          <w:spacing w:val="13"/>
          <w:sz w:val="32"/>
          <w:szCs w:val="32"/>
        </w:rPr>
        <w:t>第十四条  本规则由联盟成员单位共同制订并遵照执行。本规则由苏州市卫生健康委员会和苏州医学会伦理学分会进行解释。</w:t>
      </w:r>
    </w:p>
    <w:p w14:paraId="189C97E9">
      <w:pPr>
        <w:ind w:firstLine="692" w:firstLineChars="200"/>
        <w:rPr>
          <w:rFonts w:ascii="Times New Roman" w:hAnsi="Times New Roman" w:eastAsia="方正仿宋_GBK" w:cs="Times New Roman"/>
          <w:spacing w:val="13"/>
          <w:sz w:val="32"/>
          <w:szCs w:val="32"/>
        </w:rPr>
      </w:pPr>
    </w:p>
    <w:p w14:paraId="69A80BF3">
      <w:pPr>
        <w:ind w:firstLine="692" w:firstLineChars="200"/>
        <w:rPr>
          <w:rFonts w:ascii="Times New Roman" w:hAnsi="Times New Roman" w:eastAsia="方正仿宋_GBK" w:cs="Times New Roman"/>
          <w:spacing w:val="13"/>
          <w:sz w:val="32"/>
          <w:szCs w:val="32"/>
        </w:rPr>
      </w:pPr>
    </w:p>
    <w:p w14:paraId="209201F7">
      <w:pPr>
        <w:ind w:firstLine="692" w:firstLineChars="200"/>
        <w:rPr>
          <w:rFonts w:ascii="Times New Roman" w:hAnsi="Times New Roman" w:eastAsia="方正仿宋_GBK" w:cs="Times New Roman"/>
          <w:spacing w:val="13"/>
          <w:sz w:val="32"/>
          <w:szCs w:val="32"/>
        </w:rPr>
      </w:pPr>
    </w:p>
    <w:p w14:paraId="128238FC">
      <w:pPr>
        <w:spacing w:line="640" w:lineRule="exact"/>
        <w:jc w:val="both"/>
        <w:rPr>
          <w:rFonts w:ascii="Times New Roman" w:hAnsi="Times New Roman" w:cs="Times New Roman"/>
          <w:lang w:eastAsia="zh-TW"/>
        </w:rPr>
      </w:pPr>
      <w:bookmarkStart w:id="4" w:name="_GoBack"/>
      <w:bookmarkEnd w:id="4"/>
    </w:p>
    <w:sectPr>
      <w:headerReference r:id="rId3" w:type="default"/>
      <w:footerReference r:id="rId4" w:type="default"/>
      <w:pgSz w:w="11910" w:h="16840"/>
      <w:pgMar w:top="2098" w:right="1474" w:bottom="2098" w:left="1588" w:header="720" w:footer="720" w:gutter="0"/>
      <w:pgNumType w:fmt="numberInDash"/>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embedRegular r:id="rId1" w:fontKey="{A53EA05E-127E-4E19-B7B2-02737AE58A37}"/>
  </w:font>
  <w:font w:name="方正仿宋_GBK">
    <w:altName w:val="微软雅黑"/>
    <w:panose1 w:val="00000000000000000000"/>
    <w:charset w:val="86"/>
    <w:family w:val="script"/>
    <w:pitch w:val="default"/>
    <w:sig w:usb0="00000000" w:usb1="00000000" w:usb2="00000010" w:usb3="00000000" w:csb0="00040000" w:csb1="00000000"/>
    <w:embedRegular r:id="rId2" w:fontKey="{88D1DBD3-5BC5-4351-BA53-87B7757E6473}"/>
  </w:font>
  <w:font w:name="楷体_GB2312">
    <w:panose1 w:val="02010609030101010101"/>
    <w:charset w:val="86"/>
    <w:family w:val="modern"/>
    <w:pitch w:val="default"/>
    <w:sig w:usb0="00000001" w:usb1="080E0000" w:usb2="00000000" w:usb3="00000000" w:csb0="00040000" w:csb1="00000000"/>
    <w:embedRegular r:id="rId3" w:fontKey="{E21FDB21-AF7D-4EF2-BDF8-1BD19EBC2E33}"/>
  </w:font>
  <w:font w:name="Wingdings 2">
    <w:altName w:val="Wingdings 2"/>
    <w:panose1 w:val="05020102010507070707"/>
    <w:charset w:val="02"/>
    <w:family w:val="roman"/>
    <w:pitch w:val="default"/>
    <w:sig w:usb0="00000000" w:usb1="00000000" w:usb2="00000000" w:usb3="00000000" w:csb0="80000000" w:csb1="00000000"/>
  </w:font>
  <w:font w:name="方正楷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PSEMBED1">
    <w:panose1 w:val="02010609030101010101"/>
    <w:charset w:val="86"/>
    <w:family w:val="auto"/>
    <w:pitch w:val="default"/>
    <w:sig w:usb0="00000001" w:usb1="080E0000" w:usb2="00000000" w:usb3="00000000" w:csb0="00040000" w:csb1="00000000"/>
  </w:font>
  <w:font w:name="WPSEMBED5">
    <w:panose1 w:val="02010609030101010101"/>
    <w:charset w:val="86"/>
    <w:family w:val="auto"/>
    <w:pitch w:val="default"/>
    <w:sig w:usb0="00000001" w:usb1="080E0000" w:usb2="00000000" w:usb3="00000000" w:csb0="00040000" w:csb1="00000000"/>
  </w:font>
  <w:font w:name="WPSEMBED6">
    <w:panose1 w:val="05020102010507070707"/>
    <w:charset w:val="00"/>
    <w:family w:val="auto"/>
    <w:pitch w:val="default"/>
    <w:sig w:usb0="00000000" w:usb1="00000000" w:usb2="00000000" w:usb3="00000000" w:csb0="80000000"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8CC35">
    <w:pPr>
      <w:pStyle w:val="9"/>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p w14:paraId="3B47934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A914D">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33CCD"/>
    <w:rsid w:val="00070DB3"/>
    <w:rsid w:val="0007205F"/>
    <w:rsid w:val="001C17C4"/>
    <w:rsid w:val="0023450A"/>
    <w:rsid w:val="00247781"/>
    <w:rsid w:val="002500A2"/>
    <w:rsid w:val="00255F65"/>
    <w:rsid w:val="00262AA4"/>
    <w:rsid w:val="00294888"/>
    <w:rsid w:val="002B2D20"/>
    <w:rsid w:val="002E4C5E"/>
    <w:rsid w:val="00345E53"/>
    <w:rsid w:val="003531E9"/>
    <w:rsid w:val="003D2FE5"/>
    <w:rsid w:val="00473638"/>
    <w:rsid w:val="00496F75"/>
    <w:rsid w:val="004D1635"/>
    <w:rsid w:val="004F5AE4"/>
    <w:rsid w:val="00513B15"/>
    <w:rsid w:val="00574AFE"/>
    <w:rsid w:val="00577498"/>
    <w:rsid w:val="00593D4E"/>
    <w:rsid w:val="005E1CFC"/>
    <w:rsid w:val="005E33FA"/>
    <w:rsid w:val="005F3E96"/>
    <w:rsid w:val="00600437"/>
    <w:rsid w:val="00687856"/>
    <w:rsid w:val="007053AB"/>
    <w:rsid w:val="00713850"/>
    <w:rsid w:val="00774D91"/>
    <w:rsid w:val="00826C98"/>
    <w:rsid w:val="0086129F"/>
    <w:rsid w:val="00867410"/>
    <w:rsid w:val="008B1A11"/>
    <w:rsid w:val="008D4AEE"/>
    <w:rsid w:val="008F091A"/>
    <w:rsid w:val="00961FC7"/>
    <w:rsid w:val="009650A7"/>
    <w:rsid w:val="009C64D5"/>
    <w:rsid w:val="009D7408"/>
    <w:rsid w:val="00A35D49"/>
    <w:rsid w:val="00AF1886"/>
    <w:rsid w:val="00B02062"/>
    <w:rsid w:val="00B97996"/>
    <w:rsid w:val="00BB21E5"/>
    <w:rsid w:val="00C152FA"/>
    <w:rsid w:val="00C34475"/>
    <w:rsid w:val="00C4168F"/>
    <w:rsid w:val="00C577AE"/>
    <w:rsid w:val="00CC5EB1"/>
    <w:rsid w:val="00CE710A"/>
    <w:rsid w:val="00CF3A48"/>
    <w:rsid w:val="00D14B04"/>
    <w:rsid w:val="00D1694E"/>
    <w:rsid w:val="00D201E6"/>
    <w:rsid w:val="00D40154"/>
    <w:rsid w:val="00D92EE4"/>
    <w:rsid w:val="00DD62A8"/>
    <w:rsid w:val="00E117F1"/>
    <w:rsid w:val="00E148C5"/>
    <w:rsid w:val="00E229C6"/>
    <w:rsid w:val="00E54394"/>
    <w:rsid w:val="00E626DF"/>
    <w:rsid w:val="00EB2523"/>
    <w:rsid w:val="00F07C98"/>
    <w:rsid w:val="00F33CCD"/>
    <w:rsid w:val="00F74F52"/>
    <w:rsid w:val="2FA606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4"/>
      <w:lang w:val="en-US" w:eastAsia="zh-CN" w:bidi="ar-SA"/>
    </w:rPr>
  </w:style>
  <w:style w:type="paragraph" w:styleId="2">
    <w:name w:val="heading 1"/>
    <w:next w:val="1"/>
    <w:link w:val="22"/>
    <w:qFormat/>
    <w:uiPriority w:val="1"/>
    <w:pPr>
      <w:widowControl w:val="0"/>
      <w:autoSpaceDE w:val="0"/>
      <w:autoSpaceDN w:val="0"/>
      <w:ind w:left="1950" w:right="2095"/>
      <w:jc w:val="center"/>
      <w:outlineLvl w:val="0"/>
    </w:pPr>
    <w:rPr>
      <w:rFonts w:ascii="宋体" w:hAnsi="宋体" w:eastAsia="宋体" w:cs="宋体"/>
      <w:b/>
      <w:bCs/>
      <w:sz w:val="36"/>
      <w:szCs w:val="36"/>
      <w:lang w:val="en-US" w:eastAsia="zh-CN" w:bidi="ar-SA"/>
    </w:rPr>
  </w:style>
  <w:style w:type="paragraph" w:styleId="3">
    <w:name w:val="heading 3"/>
    <w:next w:val="1"/>
    <w:link w:val="23"/>
    <w:qFormat/>
    <w:uiPriority w:val="1"/>
    <w:pPr>
      <w:widowControl w:val="0"/>
      <w:autoSpaceDE w:val="0"/>
      <w:autoSpaceDN w:val="0"/>
      <w:spacing w:before="43"/>
      <w:ind w:left="1634" w:right="2096"/>
      <w:jc w:val="center"/>
      <w:outlineLvl w:val="2"/>
    </w:pPr>
    <w:rPr>
      <w:rFonts w:ascii="宋体" w:hAnsi="宋体" w:eastAsia="宋体" w:cs="宋体"/>
      <w:b/>
      <w:bCs/>
      <w:sz w:val="30"/>
      <w:szCs w:val="30"/>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99"/>
    <w:pPr>
      <w:jc w:val="left"/>
    </w:pPr>
  </w:style>
  <w:style w:type="paragraph" w:styleId="6">
    <w:name w:val="Body Text"/>
    <w:basedOn w:val="1"/>
    <w:next w:val="7"/>
    <w:qFormat/>
    <w:uiPriority w:val="0"/>
    <w:pPr>
      <w:adjustRightInd w:val="0"/>
      <w:snapToGrid w:val="0"/>
      <w:spacing w:line="300" w:lineRule="auto"/>
    </w:pPr>
    <w:rPr>
      <w:rFonts w:eastAsia="仿宋_GB2312"/>
      <w:sz w:val="30"/>
    </w:rPr>
  </w:style>
  <w:style w:type="paragraph" w:styleId="7">
    <w:name w:val="Date"/>
    <w:basedOn w:val="1"/>
    <w:next w:val="1"/>
    <w:link w:val="21"/>
    <w:qFormat/>
    <w:uiPriority w:val="99"/>
    <w:pPr>
      <w:ind w:left="100" w:leftChars="2500"/>
    </w:pPr>
  </w:style>
  <w:style w:type="paragraph" w:styleId="8">
    <w:name w:val="Balloon Text"/>
    <w:basedOn w:val="1"/>
    <w:link w:val="28"/>
    <w:qFormat/>
    <w:uiPriority w:val="99"/>
    <w:rPr>
      <w:sz w:val="18"/>
      <w:szCs w:val="18"/>
    </w:rPr>
  </w:style>
  <w:style w:type="paragraph" w:styleId="9">
    <w:name w:val="footer"/>
    <w:basedOn w:val="1"/>
    <w:link w:val="19"/>
    <w:qFormat/>
    <w:uiPriority w:val="99"/>
    <w:pPr>
      <w:tabs>
        <w:tab w:val="center" w:pos="4153"/>
        <w:tab w:val="right" w:pos="8306"/>
      </w:tabs>
      <w:snapToGrid w:val="0"/>
      <w:jc w:val="left"/>
    </w:pPr>
    <w:rPr>
      <w:sz w:val="18"/>
      <w:szCs w:val="18"/>
    </w:rPr>
  </w:style>
  <w:style w:type="paragraph" w:styleId="10">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11">
    <w:name w:val="List"/>
    <w:basedOn w:val="1"/>
    <w:qFormat/>
    <w:uiPriority w:val="0"/>
    <w:pPr>
      <w:ind w:left="200" w:hanging="200" w:hangingChars="200"/>
    </w:pPr>
    <w:rPr>
      <w:szCs w:val="21"/>
    </w:rPr>
  </w:style>
  <w:style w:type="paragraph" w:styleId="12">
    <w:name w:val="HTML Preformatted"/>
    <w:basedOn w:val="1"/>
    <w:link w:val="20"/>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bCs/>
    </w:rPr>
  </w:style>
  <w:style w:type="character" w:styleId="17">
    <w:name w:val="Hyperlink"/>
    <w:basedOn w:val="15"/>
    <w:qFormat/>
    <w:uiPriority w:val="99"/>
    <w:rPr>
      <w:color w:val="0563C1"/>
      <w:u w:val="single"/>
    </w:rPr>
  </w:style>
  <w:style w:type="character" w:customStyle="1" w:styleId="18">
    <w:name w:val="页眉 Char"/>
    <w:basedOn w:val="15"/>
    <w:link w:val="10"/>
    <w:qFormat/>
    <w:uiPriority w:val="99"/>
    <w:rPr>
      <w:sz w:val="18"/>
      <w:szCs w:val="18"/>
    </w:rPr>
  </w:style>
  <w:style w:type="character" w:customStyle="1" w:styleId="19">
    <w:name w:val="页脚 Char"/>
    <w:basedOn w:val="15"/>
    <w:link w:val="9"/>
    <w:qFormat/>
    <w:uiPriority w:val="99"/>
    <w:rPr>
      <w:sz w:val="18"/>
      <w:szCs w:val="18"/>
    </w:rPr>
  </w:style>
  <w:style w:type="character" w:customStyle="1" w:styleId="20">
    <w:name w:val="HTML 预设格式 Char"/>
    <w:basedOn w:val="15"/>
    <w:link w:val="12"/>
    <w:qFormat/>
    <w:uiPriority w:val="0"/>
    <w:rPr>
      <w:rFonts w:ascii="宋体" w:hAnsi="宋体" w:eastAsia="宋体" w:cs="Times New Roman"/>
      <w:kern w:val="0"/>
      <w:sz w:val="24"/>
      <w:szCs w:val="24"/>
    </w:rPr>
  </w:style>
  <w:style w:type="character" w:customStyle="1" w:styleId="21">
    <w:name w:val="日期 Char"/>
    <w:basedOn w:val="15"/>
    <w:link w:val="7"/>
    <w:qFormat/>
    <w:uiPriority w:val="99"/>
    <w:rPr>
      <w:szCs w:val="24"/>
    </w:rPr>
  </w:style>
  <w:style w:type="character" w:customStyle="1" w:styleId="22">
    <w:name w:val="标题 1 Char"/>
    <w:basedOn w:val="15"/>
    <w:link w:val="2"/>
    <w:qFormat/>
    <w:uiPriority w:val="1"/>
    <w:rPr>
      <w:rFonts w:ascii="宋体" w:hAnsi="宋体" w:eastAsia="宋体" w:cs="宋体"/>
      <w:b/>
      <w:bCs/>
      <w:kern w:val="0"/>
      <w:sz w:val="36"/>
      <w:szCs w:val="36"/>
    </w:rPr>
  </w:style>
  <w:style w:type="character" w:customStyle="1" w:styleId="23">
    <w:name w:val="标题 3 Char"/>
    <w:basedOn w:val="15"/>
    <w:link w:val="3"/>
    <w:qFormat/>
    <w:uiPriority w:val="1"/>
    <w:rPr>
      <w:rFonts w:ascii="宋体" w:hAnsi="宋体" w:eastAsia="宋体" w:cs="宋体"/>
      <w:b/>
      <w:bCs/>
      <w:kern w:val="0"/>
      <w:sz w:val="30"/>
      <w:szCs w:val="30"/>
    </w:rPr>
  </w:style>
  <w:style w:type="paragraph" w:styleId="24">
    <w:name w:val="List Paragraph"/>
    <w:qFormat/>
    <w:uiPriority w:val="1"/>
    <w:pPr>
      <w:widowControl w:val="0"/>
      <w:autoSpaceDE w:val="0"/>
      <w:autoSpaceDN w:val="0"/>
      <w:ind w:left="1120" w:hanging="703"/>
    </w:pPr>
    <w:rPr>
      <w:rFonts w:ascii="仿宋" w:hAnsi="仿宋" w:eastAsia="仿宋" w:cs="仿宋"/>
      <w:sz w:val="22"/>
      <w:szCs w:val="22"/>
      <w:lang w:val="en-US" w:eastAsia="zh-CN" w:bidi="ar-SA"/>
    </w:rPr>
  </w:style>
  <w:style w:type="paragraph" w:customStyle="1" w:styleId="25">
    <w:name w:val="Table Paragraph"/>
    <w:qFormat/>
    <w:uiPriority w:val="1"/>
    <w:pPr>
      <w:widowControl w:val="0"/>
      <w:autoSpaceDE w:val="0"/>
      <w:autoSpaceDN w:val="0"/>
    </w:pPr>
    <w:rPr>
      <w:rFonts w:ascii="仿宋" w:hAnsi="仿宋" w:eastAsia="仿宋" w:cs="仿宋"/>
      <w:sz w:val="22"/>
      <w:szCs w:val="22"/>
      <w:lang w:val="en-US" w:eastAsia="zh-CN" w:bidi="ar-SA"/>
    </w:rPr>
  </w:style>
  <w:style w:type="paragraph" w:customStyle="1" w:styleId="26">
    <w:name w:val="Table Text"/>
    <w:basedOn w:val="1"/>
    <w:qFormat/>
    <w:uiPriority w:val="0"/>
    <w:pPr>
      <w:widowControl/>
      <w:kinsoku w:val="0"/>
      <w:autoSpaceDE w:val="0"/>
      <w:autoSpaceDN w:val="0"/>
      <w:adjustRightInd w:val="0"/>
      <w:snapToGrid w:val="0"/>
      <w:jc w:val="left"/>
      <w:textAlignment w:val="baseline"/>
    </w:pPr>
    <w:rPr>
      <w:rFonts w:ascii="宋体" w:hAnsi="宋体" w:eastAsia="宋体"/>
      <w:color w:val="000000"/>
      <w:kern w:val="0"/>
      <w:sz w:val="25"/>
      <w:szCs w:val="25"/>
    </w:rPr>
  </w:style>
  <w:style w:type="table" w:customStyle="1" w:styleId="27">
    <w:name w:val="Table Normal"/>
    <w:basedOn w:val="13"/>
    <w:qFormat/>
    <w:uiPriority w:val="0"/>
    <w:rPr>
      <w:rFonts w:eastAsia="Times New Roman"/>
    </w:rPr>
    <w:tblPr>
      <w:tblCellMar>
        <w:top w:w="0" w:type="dxa"/>
        <w:left w:w="0" w:type="dxa"/>
        <w:bottom w:w="0" w:type="dxa"/>
        <w:right w:w="0" w:type="dxa"/>
      </w:tblCellMar>
    </w:tblPr>
  </w:style>
  <w:style w:type="character" w:customStyle="1" w:styleId="28">
    <w:name w:val="批注框文本 Char"/>
    <w:basedOn w:val="15"/>
    <w:link w:val="8"/>
    <w:qFormat/>
    <w:uiPriority w:val="99"/>
    <w:rPr>
      <w:rFonts w:ascii="等线" w:hAnsi="等线" w:eastAsia="等线" w:cs="宋体"/>
      <w:kern w:val="2"/>
      <w:sz w:val="18"/>
      <w:szCs w:val="18"/>
    </w:rPr>
  </w:style>
  <w:style w:type="table" w:customStyle="1" w:styleId="29">
    <w:name w:val="网格型1"/>
    <w:basedOn w:val="1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0">
    <w:name w:val="Body text|1"/>
    <w:basedOn w:val="1"/>
    <w:qFormat/>
    <w:uiPriority w:val="0"/>
    <w:pPr>
      <w:spacing w:line="394" w:lineRule="auto"/>
      <w:ind w:firstLine="400"/>
    </w:pPr>
    <w:rPr>
      <w:rFonts w:ascii="宋体" w:hAnsi="宋体" w:eastAsia="宋体"/>
      <w:sz w:val="30"/>
      <w:szCs w:val="30"/>
      <w:lang w:val="zh-TW" w:eastAsia="zh-TW" w:bidi="zh-TW"/>
    </w:rPr>
  </w:style>
  <w:style w:type="paragraph" w:customStyle="1" w:styleId="31">
    <w:name w:val="修订1"/>
    <w:qFormat/>
    <w:uiPriority w:val="99"/>
    <w:rPr>
      <w:rFonts w:ascii="等线" w:hAnsi="等线" w:eastAsia="等线" w:cs="宋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2710</Words>
  <Characters>2774</Characters>
  <Lines>85</Lines>
  <Paragraphs>23</Paragraphs>
  <TotalTime>2</TotalTime>
  <ScaleCrop>false</ScaleCrop>
  <LinksUpToDate>false</LinksUpToDate>
  <CharactersWithSpaces>2871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2025-10-09T06:54:00Z</dcterms:created>
  <dc:creator>邢玉斐</dc:creator>
  <cp:lastModifiedBy>lily</cp:lastModifiedBy>
  <cp:lastPrinted>2025-09-29T03:14:00Z</cp:lastPrinted>
  <dcterms:modified xsi:type="dcterms:W3CDTF">2025-10-15T06:34:51Z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eyJoZGlkIjoiOTMxZjFhYzhkNzRkZWY1YzQ1NWQyNGQ1MzlmNmZiZTkiLCJ1c2VySWQiOiI1NzM5MzMzMzUifQ==</vt:lpwstr>
  </property>
  <property fmtid="{D5CDD505-2E9C-101B-9397-08002B2CF9AE}" pid="3" name="KSOProductBuildVer">
    <vt:lpwstr>2052-12.1.0.22529</vt:lpwstr>
  </property>
  <property fmtid="{D5CDD505-2E9C-101B-9397-08002B2CF9AE}" pid="4" name="ICV">
    <vt:lpwstr>1fb5f364dc7d40e3bb6e2064706ce3d2_23</vt:lpwstr>
  </property>
</Properties>
</file>